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b w:val="1"/>
          <w:bCs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sz w:val="20"/>
          <w:szCs w:val="20"/>
          <w:rtl w:val="0"/>
        </w:rPr>
        <w:t xml:space="preserve">ANEXO III</w:t>
      </w:r>
      <w:r w:rsidDel="00000000" w:rsidR="00000000" w:rsidRPr="00000000">
        <w:rPr>
          <w:smallCaps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sz w:val="20"/>
          <w:szCs w:val="20"/>
          <w:rtl w:val="0"/>
        </w:rPr>
        <w:t xml:space="preserve">CRITÉRIOS DE AVALIAÇÃO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ind w:left="120" w:right="1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 avaliação dos projetos será realizada mediante atribuição de notas aos critérios de seleção, conforme descrição a seguir: 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• Grau pleno de atendimento do critério - 10 pontos; 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• Grau satisfatório de atendimento do critério – 6 pontos; 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• Grau insatisfatório de atendimento do critério – 2 pontos; 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• Não atendimento do critério – 0 pontos.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right="12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 </w:t>
      </w:r>
    </w:p>
    <w:tbl>
      <w:tblPr>
        <w:tblStyle w:val="Table1"/>
        <w:tblW w:w="993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590"/>
        <w:gridCol w:w="6015"/>
        <w:gridCol w:w="2325"/>
        <w:tblGridChange w:id="0">
          <w:tblGrid>
            <w:gridCol w:w="1590"/>
            <w:gridCol w:w="6015"/>
            <w:gridCol w:w="232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CRITÉRIOS OBRIGATÓRIOS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Identificação do Critério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Descrição do Critério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Pontuação Máxima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Relevância das ações propostas pelo espaço, ambiente ou iniciativa artístico-cultural para o cenário cultural </w:t>
            </w: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de São Domingos do Prata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 A análise deverá considerar, para fins de avaliação e valoração, se as ações contribuem  para o enriquecimento e valorização da cultura do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Município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Aspectos de integração comunitária nas ações desenvolvidas pelo espaço, ambiente ou iniciativa artístico-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cultural - considera-se, para fins de avaliação e valoração, se o espaço, ambiente apresenta aspectos de integração comunitária, em relação ao impacto social para a inclusão de pessoas com deficiência, idosos e demais grupos em situação de histórica vulnerabilidade econômica/social.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Coerência da planilha orçamentária com a execução das metas e resultados - 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Deverá ser considerada para fins de avaliação a coerência e conformidade dos valores e quantidades dos itens relacionados na planilha orçamentária </w:t>
            </w:r>
          </w:p>
          <w:p w:rsidR="00000000" w:rsidDel="00000000" w:rsidP="00000000" w:rsidRDefault="00000000" w:rsidRPr="00000000" w14:paraId="00000017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Compatibilidade da ficha técnica com as atividades desenvolvidas - 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 análise deverá considerar a carreira dos profissionais que compõem o corpo técnico e artístico, verificando a coerência ou não em relação às atribuições que serão executadas por eles no espaço, ambiente ou iniciativa artístico-cultural (para esta avaliação serão considerados os mini currículos dos membros da ficha técnica).</w:t>
            </w:r>
          </w:p>
          <w:p w:rsidR="00000000" w:rsidDel="00000000" w:rsidP="00000000" w:rsidRDefault="00000000" w:rsidRPr="00000000" w14:paraId="0000001B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Trajetória artística e cultural do espaço, ambiente ou iniciativa artístico-cultural - 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Será considerado para fins de análise a história do espaço, ambiente ou iniciativa artístico-cultural com base no portifólio e comprovações enviadas juntamente com a proposta</w:t>
            </w:r>
          </w:p>
          <w:p w:rsidR="00000000" w:rsidDel="00000000" w:rsidP="00000000" w:rsidRDefault="00000000" w:rsidRPr="00000000" w14:paraId="0000001F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PONTUAÇÃO TOTAL: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50</w:t>
            </w:r>
          </w:p>
        </w:tc>
      </w:tr>
    </w:tbl>
    <w:p w:rsidR="00000000" w:rsidDel="00000000" w:rsidP="00000000" w:rsidRDefault="00000000" w:rsidRPr="00000000" w14:paraId="0000002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Além da pontuação acima, o agente cultural pode receber bônus de pontuação, ou seja, uma pontuação extra, conforme critérios abaixo especificados: 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Layout w:type="fixed"/>
        <w:tblLook w:val="0400"/>
      </w:tblPr>
      <w:tblGrid>
        <w:gridCol w:w="1575"/>
        <w:gridCol w:w="5970"/>
        <w:gridCol w:w="2100"/>
        <w:tblGridChange w:id="0">
          <w:tblGrid>
            <w:gridCol w:w="1575"/>
            <w:gridCol w:w="5970"/>
            <w:gridCol w:w="210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PONTUAÇÃO EXTRA PARA ESPAÇOS E INICIATIVAS ARTÍSTICO-CULTURAIS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Identificação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Descrição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Pontuação Máxima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hd w:fill="ffffff" w:val="clear"/>
              <w:spacing w:after="240" w:before="240" w:line="240" w:lineRule="auto"/>
              <w:jc w:val="center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Espaços, ambientes ou iniciativas artístico-culturais compostos majoritariamente por pessoas negras; indígenas;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after="24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hd w:fill="ffffff" w:val="clear"/>
              <w:spacing w:after="240" w:before="240" w:line="240" w:lineRule="auto"/>
              <w:jc w:val="center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Espaços, ambientes ou iniciativas artístico-culturais compostos majoritariamente por mulheres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24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hd w:fill="ffffff" w:val="clear"/>
              <w:spacing w:after="240" w:before="240" w:line="240" w:lineRule="auto"/>
              <w:jc w:val="center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Espaços, ambientes ou iniciativas artístico-culturais sediadas em regiões de menor IDH ou coletivos/grupos pertencentes a regiões de menor IDH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hd w:fill="ffffff" w:val="clear"/>
              <w:spacing w:after="240" w:before="240" w:line="240" w:lineRule="auto"/>
              <w:jc w:val="center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hd w:fill="ffffff" w:val="clear"/>
              <w:spacing w:after="240" w:line="240" w:lineRule="auto"/>
              <w:jc w:val="center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hd w:fill="ffffff" w:val="clear"/>
              <w:spacing w:after="240" w:line="240" w:lineRule="auto"/>
              <w:jc w:val="center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Espaços, ambientes ou iniciativas artístico-culturais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after="24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br w:type="textWrapping"/>
              <w:br w:type="textWrapping"/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hd w:fill="ffffff" w:val="clear"/>
              <w:spacing w:after="240" w:before="24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PONTUAÇÃO EXTRA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hd w:fill="ffffff" w:val="clear"/>
              <w:spacing w:after="240" w:before="24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20 PONTOS</w:t>
            </w:r>
          </w:p>
        </w:tc>
      </w:tr>
    </w:tbl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pontuação final de cada candidatura será </w:t>
      </w:r>
      <w:r w:rsidDel="00000000" w:rsidR="00000000" w:rsidRPr="00000000">
        <w:rPr>
          <w:sz w:val="20"/>
          <w:szCs w:val="20"/>
          <w:rtl w:val="0"/>
        </w:rPr>
        <w:t xml:space="preserve">por média das notas atribuídas individualmente por cada membro.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Os critérios gerais são eliminatórios, de modo que, o agente cultural que receber pontuação 0 em algum dos critérios será desclassificado do Edital.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Os bônus de pontuação são cumulativos e não constituem critérios obrigatórios, de modo que a pontuação 0 em algum dos pontos bônus não desclassifica o agente cultural.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Em caso de empate, serão utilizados para fins de classificação dos projetos a maior nota nos critérios de acordo com a ordem abaixo definida: A, B, C, D, E, respectivamente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Caso nenhum dos critérios acima elencados seja capaz de promover o desempate serão adotados critérios de desempate na ordem a seguir:</w:t>
      </w:r>
      <w:r w:rsidDel="00000000" w:rsidR="00000000" w:rsidRPr="00000000">
        <w:rPr>
          <w:sz w:val="20"/>
          <w:szCs w:val="20"/>
          <w:rtl w:val="0"/>
        </w:rPr>
        <w:t xml:space="preserve"> maior idade do proponente, maior tempo de atuação cultural.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Serão considerados aptos os projetos que receberem nota final igual ou superior a 30 pontos.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Serão desclassificados os projetos que:</w:t>
      </w:r>
    </w:p>
    <w:p w:rsidR="00000000" w:rsidDel="00000000" w:rsidP="00000000" w:rsidRDefault="00000000" w:rsidRPr="00000000" w14:paraId="00000048">
      <w:p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I - receberam nota 0 em qualquer dos critérios obrigatórios; </w:t>
      </w:r>
    </w:p>
    <w:p w:rsidR="00000000" w:rsidDel="00000000" w:rsidP="00000000" w:rsidRDefault="00000000" w:rsidRPr="00000000" w14:paraId="00000049">
      <w:p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II - apresentem quaisquer formas de preconceito de origem, raça, etnia, gênero, cor, idade ou outras formas de discriminação serão desclassificadas, com fundamento no disposto no </w:t>
      </w:r>
      <w:hyperlink r:id="rId7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inciso IV do caput do art. 3º da Constituição,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 garantidos o contraditório e a ampla defesa.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spacing w:after="120" w:before="120" w:line="240" w:lineRule="auto"/>
        <w:ind w:left="992.1259842519685" w:right="120" w:hanging="283.4645669291337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falsidade de informações acarretará desclassificação, podendo ensejar, ainda, a aplicação de sanções administrativas ou criminais.</w:t>
      </w:r>
    </w:p>
    <w:sectPr>
      <w:headerReference r:id="rId8" w:type="default"/>
      <w:pgSz w:h="16838" w:w="11906" w:orient="portrait"/>
      <w:pgMar w:bottom="1133.8582677165355" w:top="1133.8582677165355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2400300</wp:posOffset>
          </wp:positionH>
          <wp:positionV relativeFrom="paragraph">
            <wp:posOffset>-438149</wp:posOffset>
          </wp:positionV>
          <wp:extent cx="1001598" cy="714375"/>
          <wp:effectExtent b="0" l="0" r="0" t="0"/>
          <wp:wrapNone/>
          <wp:docPr id="143786647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1598" cy="7143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104776</wp:posOffset>
          </wp:positionH>
          <wp:positionV relativeFrom="paragraph">
            <wp:posOffset>-335279</wp:posOffset>
          </wp:positionV>
          <wp:extent cx="2034598" cy="504825"/>
          <wp:effectExtent b="0" l="0" r="0" t="0"/>
          <wp:wrapNone/>
          <wp:docPr id="143786647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8B5A3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 w:val="1"/>
    <w:unhideWhenUsed w:val="1"/>
    <w:rsid w:val="008B5A30"/>
    <w:rPr>
      <w:color w:val="0000ff"/>
      <w:u w:val="single"/>
    </w:rPr>
  </w:style>
  <w:style w:type="paragraph" w:styleId="Reviso">
    <w:name w:val="Revision"/>
    <w:hidden w:val="1"/>
    <w:uiPriority w:val="99"/>
    <w:semiHidden w:val="1"/>
    <w:rsid w:val="001B52C8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B430A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8D6FB7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D6FB7"/>
  </w:style>
  <w:style w:type="paragraph" w:styleId="Rodap">
    <w:name w:val="footer"/>
    <w:basedOn w:val="Normal"/>
    <w:link w:val="RodapChar"/>
    <w:uiPriority w:val="99"/>
    <w:unhideWhenUsed w:val="1"/>
    <w:rsid w:val="008D6FB7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D6FB7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planalto.gov.br/ccivil_03/Constituicao/Constituicao.htm#art3iv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wnhxRkttWFYnxvGBj32usO2bAA==">CgMxLjA4AHIhMVhZZzhUUmNMME1FNDJVUkc4dDQyU0pqQTZQeXl4Nm9m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2024-06-05T14:27:00Z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