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smallCaps w:val="1"/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smallCaps w:val="1"/>
          <w:color w:val="000000"/>
          <w:sz w:val="20"/>
          <w:szCs w:val="20"/>
          <w:rtl w:val="0"/>
        </w:rPr>
        <w:t xml:space="preserve">ANEXO III</w:t>
      </w: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smallCaps w:val="1"/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smallCaps w:val="1"/>
          <w:color w:val="000000"/>
          <w:sz w:val="20"/>
          <w:szCs w:val="20"/>
          <w:rtl w:val="0"/>
        </w:rPr>
        <w:t xml:space="preserve">CRITÉRIOS UTILIZADOS NA AVALIAÇÃO DE MÉRITO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ind w:right="12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 avaliação dos projetos será realizada mediante atribuição de notas aos critérios de seleção, conforme descrição a seguir: 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• Grau pleno de atendimento do critério - 10 pontos; 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• Grau satisfatório de atendimento do critério – 6 pontos; 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• Grau insatisfatório de atendimento do critério – 2 pontos; 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• Não atendimento do critério – 0 pontos.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tbl>
      <w:tblPr>
        <w:tblStyle w:val="Table1"/>
        <w:tblW w:w="915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590"/>
        <w:gridCol w:w="5640"/>
        <w:gridCol w:w="1920"/>
        <w:tblGridChange w:id="0">
          <w:tblGrid>
            <w:gridCol w:w="1590"/>
            <w:gridCol w:w="5640"/>
            <w:gridCol w:w="192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CRITÉRIOS OBRIGATÓRIOS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Identificação do Critério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Descrição do Critério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Pontuação Máxima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Qualidade do Projeto - Coerência do objeto, objetivos, justificativa e metas do projeto - 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 análise deverá considerar, para fins de avaliação e valoração, se o conteúdo do projeto apresenta, como um todo, coerência, observando o objeto, a justificativa e as metas, sendo possível visualizar de forma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  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evidente os resultados que serão obtidos.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Relevância da ação proposta para o cenário cultural d</w:t>
            </w: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e São Domningos do Prata = </w:t>
            </w:r>
            <w:r w:rsidDel="00000000" w:rsidR="00000000" w:rsidRPr="00000000">
              <w:rPr>
                <w:b w:val="1"/>
                <w:bCs w:val="1"/>
                <w:color w:val="ff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 análise deverá considerar, para fins de avaliação e valoração, se a ação contribui para o enriquecimento e valorização da cultura do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Município.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Aspectos de integração comunitária na ação proposta pelo projeto - 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considera-se, para fins de avaliação e valoração, se o projeto apresenta aspectos de integração comunitária, em relação ao impacto social para a inclusão de pessoas com deficiência, idosos e demais grupos em situação de histórica vulnerabilidade econômica/social.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Coerência da planilha orçamentária e do cronograma de execução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   </w:t>
            </w: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nas metas, resultados e desdobramentos do projeto proposto - 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 análise deverá avaliar e valorar a viabilidade técnica do projeto sob o ponto de vista dos gastos previstos na planilha orçamentária, sua execução e a adequação ao objeto, metas e objetivos previstos. Também deverá ser considerada, para fins de avaliação, a coerência e conformidade dos valores e quantidades dos itens relacionados na planilha orçamentária do projeto.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Coerência do Plano de Divulgação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   </w:t>
            </w: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no Cronograma, Objetivos e Metas do projeto proposto - 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 análise deverá avaliar e valorar a viabilidade técnica e comunicacional com o público alvo do projeto, mediante as estratégias, mídias e materiais apresentados, bem como a capacidade de executá-los.</w:t>
            </w:r>
          </w:p>
          <w:p w:rsidR="00000000" w:rsidDel="00000000" w:rsidP="00000000" w:rsidRDefault="00000000" w:rsidRPr="00000000" w14:paraId="0000001E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Compatibilidade da ficha técnica com as atividades desenvolvidas - 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 análise deverá considerar a carreira dos profissionais que compõem o corpo técnico e artístico, verificando a coerência ou não em relação às atribuições que serão executadas por eles no projeto (para esta avaliação serão considerados os currículos dos membros da ficha técnica).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Trajetória artística e cultural do proponente - 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Será considerada,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  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para fins de análise, a carreira do proponente, com base no currículo e comprovações enviadas juntamente com a proposta.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ind w:left="120" w:right="12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PONTUAÇÃO TOTAL: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40" w:lineRule="auto"/>
              <w:ind w:left="120" w:right="1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 PONTOS</w:t>
            </w:r>
          </w:p>
        </w:tc>
      </w:tr>
    </w:tbl>
    <w:p w:rsidR="00000000" w:rsidDel="00000000" w:rsidP="00000000" w:rsidRDefault="00000000" w:rsidRPr="00000000" w14:paraId="00000029">
      <w:pPr>
        <w:spacing w:after="120" w:before="12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Além da pontuação acima, o proponente pode receber bônus de pontuação, ou seja, uma pontuação extra, conforme critérios abaixo especificados: </w:t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6.0" w:type="dxa"/>
        <w:jc w:val="left"/>
        <w:tblLayout w:type="fixed"/>
        <w:tblLook w:val="0400"/>
      </w:tblPr>
      <w:tblGrid>
        <w:gridCol w:w="1717"/>
        <w:gridCol w:w="3442"/>
        <w:gridCol w:w="3867"/>
        <w:tblGridChange w:id="0">
          <w:tblGrid>
            <w:gridCol w:w="1717"/>
            <w:gridCol w:w="3442"/>
            <w:gridCol w:w="3867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PONTUAÇÃO BÔNUS PARA PROPONENTES PESSOAS FÍSICAS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Identificação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Pontuação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hd w:fill="ffffff" w:val="clear"/>
              <w:spacing w:after="240" w:before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Agentes culturais do gênero feminino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hd w:fill="ffffff" w:val="clear"/>
              <w:spacing w:after="240" w:before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Agentes culturais negros e indígenas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hd w:fill="ffffff" w:val="clear"/>
              <w:spacing w:after="240" w:before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Agentes culturais com deficiência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hd w:fill="ffffff" w:val="clear"/>
              <w:spacing w:after="240" w:before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Agentes culturais residentes em regiões de menor IDH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hd w:fill="ffffff" w:val="clear"/>
              <w:spacing w:after="240" w:before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PONTUAÇÃO EXTRA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hd w:fill="ffffff" w:val="clear"/>
              <w:spacing w:after="240" w:before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 PONTOS</w:t>
            </w:r>
          </w:p>
        </w:tc>
      </w:tr>
    </w:tbl>
    <w:p w:rsidR="00000000" w:rsidDel="00000000" w:rsidP="00000000" w:rsidRDefault="00000000" w:rsidRPr="00000000" w14:paraId="00000044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6.0" w:type="dxa"/>
        <w:jc w:val="left"/>
        <w:tblLayout w:type="fixed"/>
        <w:tblLook w:val="0400"/>
      </w:tblPr>
      <w:tblGrid>
        <w:gridCol w:w="1584"/>
        <w:gridCol w:w="3960"/>
        <w:gridCol w:w="3482"/>
        <w:tblGridChange w:id="0">
          <w:tblGrid>
            <w:gridCol w:w="1584"/>
            <w:gridCol w:w="3960"/>
            <w:gridCol w:w="3482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PONTUAÇÃO EXTRA PARA PROPONENTES PESSOAS JURÍDICAS E COLETIVOS OU GRUPOS CULTURAIS SEM CNPJ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Identificação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Pontuação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Pessoas jurídicas ou coletivos/grupos compostos majoritariamente por pessoas com deficiência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hd w:fill="ffffff" w:val="clear"/>
              <w:spacing w:after="240" w:before="240" w:line="240" w:lineRule="auto"/>
              <w:jc w:val="center"/>
              <w:rPr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Pessoas jurídicas ou coletivos/grupos compostos majoritariamente por pessoas negras ou indígenas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after="24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hd w:fill="ffffff" w:val="clear"/>
              <w:spacing w:after="240" w:before="240" w:line="240" w:lineRule="auto"/>
              <w:jc w:val="center"/>
              <w:rPr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Pessoas jurídicas compostas majoritariamente por mulheres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hd w:fill="ffffff" w:val="clear"/>
              <w:spacing w:after="240" w:before="240" w:line="240" w:lineRule="auto"/>
              <w:jc w:val="center"/>
              <w:rPr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Pessoas jurídicas sediadas em regiões de menor IDH ou coletivos/grupos pertencentes a regiões de menor IDH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hd w:fill="ffffff" w:val="clear"/>
              <w:spacing w:after="240" w:line="240" w:lineRule="auto"/>
              <w:jc w:val="center"/>
              <w:rPr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after="24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br w:type="textWrapping"/>
              <w:br w:type="textWrapping"/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hd w:fill="ffffff" w:val="clear"/>
              <w:spacing w:after="240" w:before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PONTUAÇÃO EXTRA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hd w:fill="ffffff" w:val="clear"/>
              <w:spacing w:after="240" w:before="24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 PONTOS</w:t>
            </w:r>
          </w:p>
        </w:tc>
      </w:tr>
    </w:tbl>
    <w:p w:rsidR="00000000" w:rsidDel="00000000" w:rsidP="00000000" w:rsidRDefault="00000000" w:rsidRPr="00000000" w14:paraId="00000062">
      <w:pPr>
        <w:spacing w:after="120" w:before="120" w:line="240" w:lineRule="auto"/>
        <w:ind w:right="120"/>
        <w:jc w:val="both"/>
        <w:rPr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20" w:before="120" w:line="240" w:lineRule="auto"/>
        <w:ind w:right="120"/>
        <w:jc w:val="both"/>
        <w:rPr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color w:val="ff000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 pontuação final de cada candidatura se</w:t>
      </w:r>
      <w:r w:rsidDel="00000000" w:rsidR="00000000" w:rsidRPr="00000000">
        <w:rPr>
          <w:sz w:val="20"/>
          <w:szCs w:val="20"/>
          <w:rtl w:val="0"/>
        </w:rPr>
        <w:t xml:space="preserve">rá </w:t>
      </w:r>
      <w:r w:rsidDel="00000000" w:rsidR="00000000" w:rsidRPr="00000000">
        <w:rPr>
          <w:sz w:val="20"/>
          <w:szCs w:val="20"/>
          <w:rtl w:val="0"/>
        </w:rPr>
        <w:t xml:space="preserve">POR MÉDIA DAS NOTAS ATRIBUÍDAS INDIVIDUALMENTE POR CADA MEMBRO.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color w:val="00000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Os critérios gerais são eliminatórios</w:t>
      </w: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de modo que</w:t>
      </w: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o agente cultural que receber pontuação 0 em algum dos critérios será desclassificado do Edital.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color w:val="00000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Os bônus de pontuação são cumulativos e não constituem critérios obrigatórios</w:t>
      </w: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de modo que a pontuação 0 em algum dos pontos bônus não desclassifica o agente cultural.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color w:val="00000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Em caso de empate, serão utilizados para fins de classificação dos projetos a maior nota nos critérios de acordo com a ordem abaixo definida: A, B, C, D, E, F, G, respectivamente.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/>
      </w:pPr>
      <w:r w:rsidDel="00000000" w:rsidR="00000000" w:rsidRPr="00000000">
        <w:rPr>
          <w:sz w:val="20"/>
          <w:szCs w:val="20"/>
          <w:rtl w:val="0"/>
        </w:rPr>
        <w:t xml:space="preserve">Caso nenhum dos critérios acima elencados seja capaz de promover o desempate, serão adotados critérios de desempate na ordem a seguir:</w:t>
      </w:r>
      <w:r w:rsidDel="00000000" w:rsidR="00000000" w:rsidRPr="00000000">
        <w:rPr>
          <w:sz w:val="20"/>
          <w:szCs w:val="20"/>
          <w:rtl w:val="0"/>
        </w:rPr>
        <w:t xml:space="preserve"> Organização ou agente com maior idade.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color w:val="00000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Serão considerados aptos os projetos que receberem nota final igual ou superior a 40 pontos.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color w:val="00000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Serão desclassificados os projetos que:</w:t>
      </w:r>
    </w:p>
    <w:p w:rsidR="00000000" w:rsidDel="00000000" w:rsidP="00000000" w:rsidRDefault="00000000" w:rsidRPr="00000000" w14:paraId="0000006B">
      <w:pPr>
        <w:spacing w:after="120" w:before="120" w:line="240" w:lineRule="auto"/>
        <w:ind w:left="1416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I - receberam nota 0 em qualquer dos critérios obrigatórios; </w:t>
      </w:r>
    </w:p>
    <w:p w:rsidR="00000000" w:rsidDel="00000000" w:rsidP="00000000" w:rsidRDefault="00000000" w:rsidRPr="00000000" w14:paraId="0000006C">
      <w:pPr>
        <w:spacing w:after="120" w:before="120" w:line="240" w:lineRule="auto"/>
        <w:ind w:left="1416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II - apresentem quaisquer formas de preconceito de origem, raça, etnia, gênero, cor, idade ou outras formas de discriminação</w:t>
      </w: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com fundamento no disposto no </w:t>
      </w:r>
      <w:hyperlink r:id="rId7">
        <w:r w:rsidDel="00000000" w:rsidR="00000000" w:rsidRPr="00000000">
          <w:rPr>
            <w:color w:val="000000"/>
            <w:sz w:val="20"/>
            <w:szCs w:val="20"/>
            <w:rtl w:val="0"/>
          </w:rPr>
          <w:t xml:space="preserve">inciso IV do caput do art. 3º da Constituição,</w:t>
        </w:r>
      </w:hyperlink>
      <w:r w:rsidDel="00000000" w:rsidR="00000000" w:rsidRPr="00000000">
        <w:rPr>
          <w:color w:val="000000"/>
          <w:sz w:val="20"/>
          <w:szCs w:val="20"/>
          <w:rtl w:val="0"/>
        </w:rPr>
        <w:t xml:space="preserve"> garantidos o contraditório e a ampla defesa.</w:t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spacing w:after="120" w:before="120" w:line="240" w:lineRule="auto"/>
        <w:ind w:left="840" w:right="120" w:firstLine="0"/>
        <w:jc w:val="both"/>
        <w:rPr>
          <w:color w:val="00000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 falsidade de informações acarretará desclassificação, podendo ensejar, ainda, a aplicação de sanções administrativas ou criminais.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4533900</wp:posOffset>
          </wp:positionH>
          <wp:positionV relativeFrom="paragraph">
            <wp:posOffset>133163</wp:posOffset>
          </wp:positionV>
          <wp:extent cx="1951673" cy="469968"/>
          <wp:effectExtent b="0" l="0" r="0" t="0"/>
          <wp:wrapSquare wrapText="bothSides" distB="0" distT="0" distL="114300" distR="114300"/>
          <wp:docPr descr="Logotipo&#10;&#10;Descrição gerada automaticamente com confiança baixa" id="2028906948" name="image1.png"/>
          <a:graphic>
            <a:graphicData uri="http://schemas.openxmlformats.org/drawingml/2006/picture">
              <pic:pic>
                <pic:nvPicPr>
                  <pic:cNvPr descr="Logotipo&#10;&#10;Descrição gerada automaticamente com confiança baixa" id="0" name="image1.png"/>
                  <pic:cNvPicPr preferRelativeResize="0"/>
                </pic:nvPicPr>
                <pic:blipFill>
                  <a:blip r:embed="rId1"/>
                  <a:srcRect b="38624" l="0" r="0" t="37389"/>
                  <a:stretch>
                    <a:fillRect/>
                  </a:stretch>
                </pic:blipFill>
                <pic:spPr>
                  <a:xfrm>
                    <a:off x="0" y="0"/>
                    <a:ext cx="1951673" cy="46996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2247900</wp:posOffset>
          </wp:positionH>
          <wp:positionV relativeFrom="paragraph">
            <wp:posOffset>99826</wp:posOffset>
          </wp:positionV>
          <wp:extent cx="2034598" cy="504825"/>
          <wp:effectExtent b="0" l="0" r="0" t="0"/>
          <wp:wrapNone/>
          <wp:docPr id="202890694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-85724</wp:posOffset>
          </wp:positionH>
          <wp:positionV relativeFrom="paragraph">
            <wp:posOffset>-28574</wp:posOffset>
          </wp:positionV>
          <wp:extent cx="2034598" cy="504825"/>
          <wp:effectExtent b="0" l="0" r="0" t="0"/>
          <wp:wrapNone/>
          <wp:docPr id="202890694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2305050</wp:posOffset>
          </wp:positionH>
          <wp:positionV relativeFrom="paragraph">
            <wp:posOffset>-166687</wp:posOffset>
          </wp:positionV>
          <wp:extent cx="1092037" cy="782627"/>
          <wp:effectExtent b="0" l="0" r="0" t="0"/>
          <wp:wrapNone/>
          <wp:docPr id="202890694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2037" cy="78262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centralizadomaiusculas" w:customStyle="1">
    <w:name w:val="texto_centralizado_maiusculas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textojustificado" w:customStyle="1">
    <w:name w:val="texto_justificado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textocentralizado" w:customStyle="1">
    <w:name w:val="texto_centralizado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 w:val="1"/>
    <w:rsid w:val="008B5A3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yperlink">
    <w:name w:val="Hyperlink"/>
    <w:basedOn w:val="Fontepargpadro"/>
    <w:uiPriority w:val="99"/>
    <w:semiHidden w:val="1"/>
    <w:unhideWhenUsed w:val="1"/>
    <w:rsid w:val="008B5A30"/>
    <w:rPr>
      <w:color w:val="0000ff"/>
      <w:u w:val="single"/>
    </w:rPr>
  </w:style>
  <w:style w:type="table" w:styleId="Tabelacomgrade">
    <w:name w:val="Table Grid"/>
    <w:basedOn w:val="Tabelanormal"/>
    <w:uiPriority w:val="39"/>
    <w:rsid w:val="00E45A2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" w:customStyle="1">
    <w:name w:val="paragraph"/>
    <w:basedOn w:val="Normal"/>
    <w:rsid w:val="00E45A2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normaltextrun" w:customStyle="1">
    <w:name w:val="normaltextrun"/>
    <w:basedOn w:val="Fontepargpadro"/>
    <w:rsid w:val="00E45A27"/>
  </w:style>
  <w:style w:type="character" w:styleId="eop" w:customStyle="1">
    <w:name w:val="eop"/>
    <w:basedOn w:val="Fontepargpadro"/>
    <w:rsid w:val="00E45A27"/>
  </w:style>
  <w:style w:type="table" w:styleId="a" w:customStyle="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1" w:customStyle="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ela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3" w:customStyle="1">
    <w:basedOn w:val="Tabela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4" w:customStyle="1">
    <w:basedOn w:val="Tabelanormal"/>
    <w:pPr>
      <w:spacing w:after="0" w:line="240" w:lineRule="auto"/>
    </w:pPr>
    <w:tblPr>
      <w:tblStyleRowBandSize w:val="1"/>
      <w:tblStyleColBandSize w:val="1"/>
    </w:tblPr>
  </w:style>
  <w:style w:type="paragraph" w:styleId="Cabealho">
    <w:name w:val="header"/>
    <w:basedOn w:val="Normal"/>
    <w:link w:val="CabealhoChar"/>
    <w:uiPriority w:val="99"/>
    <w:unhideWhenUsed w:val="1"/>
    <w:rsid w:val="002C65FD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2C65FD"/>
  </w:style>
  <w:style w:type="paragraph" w:styleId="Rodap">
    <w:name w:val="footer"/>
    <w:basedOn w:val="Normal"/>
    <w:link w:val="RodapChar"/>
    <w:uiPriority w:val="99"/>
    <w:unhideWhenUsed w:val="1"/>
    <w:rsid w:val="002C65FD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2C65F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lanalto.gov.br/ccivil_03/Constituicao/Constituicao.htm#art3iv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EWaUkeICc4w7gyYM422L+t8WZA==">CgMxLjA4AHIhMURYZ056R2NOTnBYUmYtVVhKLWdOeVNwM2hHRTgxUzFY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2025-06-02T16:28:00Z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